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B" w:rsidRPr="00D1428B" w:rsidRDefault="003918AA" w:rsidP="004A1AB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 5</w:t>
      </w:r>
      <w:proofErr w:type="gramEnd"/>
      <w:r w:rsidR="00BD72EF">
        <w:rPr>
          <w:rFonts w:ascii="Times New Roman" w:hAnsi="Times New Roman" w:cs="Times New Roman"/>
          <w:b/>
        </w:rPr>
        <w:t>B020900</w:t>
      </w:r>
      <w:r w:rsidR="00D1428B" w:rsidRPr="00D1428B">
        <w:rPr>
          <w:rFonts w:ascii="Times New Roman" w:hAnsi="Times New Roman" w:cs="Times New Roman"/>
          <w:b/>
        </w:rPr>
        <w:t xml:space="preserve">- </w:t>
      </w:r>
      <w:proofErr w:type="spellStart"/>
      <w:r w:rsidRPr="003918AA">
        <w:rPr>
          <w:rFonts w:ascii="Times New Roman" w:hAnsi="Times New Roman" w:cs="Times New Roman"/>
          <w:b/>
        </w:rPr>
        <w:t>Шығыстану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r w:rsidR="00B85D21">
        <w:rPr>
          <w:b/>
          <w:lang w:val="kk-KZ"/>
        </w:rPr>
        <w:t>Шығыс тілінде сөйлеу этикеті және келіс сөз практикасы</w:t>
      </w:r>
      <w:r w:rsidR="004A1AB4" w:rsidRPr="004A1AB4">
        <w:rPr>
          <w:rFonts w:ascii="Times New Roman" w:hAnsi="Times New Roman" w:cs="Times New Roman"/>
          <w:b/>
        </w:rPr>
        <w:t>)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bookmarkStart w:id="0" w:name="_GoBack"/>
      <w:bookmarkEnd w:id="0"/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/ Под ред. С.Ф. Гончаренко.-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пособие.-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D"/>
    <w:rsid w:val="003918AA"/>
    <w:rsid w:val="00394160"/>
    <w:rsid w:val="004A1AB4"/>
    <w:rsid w:val="008179CD"/>
    <w:rsid w:val="00A4244A"/>
    <w:rsid w:val="00B85D21"/>
    <w:rsid w:val="00B94383"/>
    <w:rsid w:val="00BD72EF"/>
    <w:rsid w:val="00D1428B"/>
    <w:rsid w:val="00E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CBF6-A61C-485F-BDB4-D9F52D2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Арзыкулов Аманжан</cp:lastModifiedBy>
  <cp:revision>2</cp:revision>
  <dcterms:created xsi:type="dcterms:W3CDTF">2021-09-20T06:01:00Z</dcterms:created>
  <dcterms:modified xsi:type="dcterms:W3CDTF">2021-09-20T06:01:00Z</dcterms:modified>
</cp:coreProperties>
</file>